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7F9BC">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p>
    <w:p w14:paraId="2719441A">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p>
    <w:p w14:paraId="7AC7C3BB">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芜湖市人民政府办公室关于印发芜湖市中小企业数字化转型试点城市建设实施方案的通知</w:t>
      </w:r>
    </w:p>
    <w:p w14:paraId="790D045C">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芜政办秘（2025）7号</w:t>
      </w:r>
    </w:p>
    <w:p w14:paraId="451EDDB4">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p>
    <w:p w14:paraId="3289FE37">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各县市区人民政府，皖江江北新兴产业集中区、经济技术开发区、高新技术产业开发区、三山经济开发区、自贸试验区芜湖片区管委会，市各有关单位：</w:t>
      </w:r>
    </w:p>
    <w:p w14:paraId="0F2EEBE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现将《芜湖市中小企业数字化转型试点城市建设实施方案》印发给你们，请认真贯彻执行。</w:t>
      </w:r>
    </w:p>
    <w:p w14:paraId="185D07DE">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2276A3B8">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p>
    <w:p w14:paraId="6724D033">
      <w:pPr>
        <w:keepNext w:val="0"/>
        <w:keepLines w:val="0"/>
        <w:pageBreakBefore w:val="0"/>
        <w:widowControl w:val="0"/>
        <w:kinsoku/>
        <w:wordWrap/>
        <w:overflowPunct w:val="0"/>
        <w:topLinePunct w:val="0"/>
        <w:autoSpaceDE/>
        <w:autoSpaceDN/>
        <w:bidi w:val="0"/>
        <w:adjustRightInd/>
        <w:snapToGrid/>
        <w:spacing w:line="590" w:lineRule="exact"/>
        <w:ind w:right="420" w:rightChars="200"/>
        <w:jc w:val="righ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芜湖市人民政府办公室</w:t>
      </w:r>
    </w:p>
    <w:p w14:paraId="300025F7">
      <w:pPr>
        <w:keepNext w:val="0"/>
        <w:keepLines w:val="0"/>
        <w:pageBreakBefore w:val="0"/>
        <w:widowControl w:val="0"/>
        <w:kinsoku/>
        <w:wordWrap/>
        <w:overflowPunct w:val="0"/>
        <w:topLinePunct w:val="0"/>
        <w:autoSpaceDE/>
        <w:autoSpaceDN/>
        <w:bidi w:val="0"/>
        <w:adjustRightInd/>
        <w:snapToGrid/>
        <w:spacing w:line="590" w:lineRule="exact"/>
        <w:ind w:right="840" w:rightChars="4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2025年4月27日</w:t>
      </w:r>
    </w:p>
    <w:p w14:paraId="1A2D2652">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14:paraId="4F3C4FA4">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1D9B054B">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6B4B9260">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69D3A97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35C6ADD3">
      <w:pPr>
        <w:keepNext w:val="0"/>
        <w:keepLines w:val="0"/>
        <w:pageBreakBefore w:val="0"/>
        <w:widowControl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sz w:val="32"/>
          <w:szCs w:val="32"/>
        </w:rPr>
      </w:pPr>
    </w:p>
    <w:p w14:paraId="7C3EB92C">
      <w:pPr>
        <w:keepNext w:val="0"/>
        <w:keepLines w:val="0"/>
        <w:pageBreakBefore w:val="0"/>
        <w:widowControl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芜湖市中小企业数字化转型试点城市建设实施方案</w:t>
      </w:r>
    </w:p>
    <w:p w14:paraId="3644DB6C">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p>
    <w:p w14:paraId="4CCF056F">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为推动中小企业数字化转型试点城市工作，根据《财政部办公厅 工业和信息化部办公厅关于做好2024年中小企业数字化转型城市试点工作的通知》（财办建（2024）23号），结合我市实际，制定本方案。</w:t>
      </w:r>
    </w:p>
    <w:p w14:paraId="49F5A728">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一、总体思路</w:t>
      </w:r>
    </w:p>
    <w:p w14:paraId="26B71733">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以习近平新时代中国特色社会主义思想为指导，全面贯彻落实党的二十大、二十届三中全会精神，习近平总书记考察安徽重要讲话精神，坚持“政府引导、企业主体、聚焦重点、分业推进、示范推广”的工作思路，推动我市中小企业数字化转型，打造中小企业数字化转型标杆示范，探索中小企业数字化转型的“芜湖模式”，促进全市中小企业高质量发展。</w:t>
      </w:r>
    </w:p>
    <w:p w14:paraId="6281FC7E">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二、工作目标</w:t>
      </w:r>
    </w:p>
    <w:p w14:paraId="149E3ABE">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到2026年，推动汽车零部件及配件制造、家用电力器具制造、输配电设备及电线电缆制造、智能装备及通用零部件和配件制造4大细分行业中小企业实施数字化改造，实现不少于500户试点企业中小企业数字化水平评测达到二级及以上，争创一批中小企业数字化转型标杆示范企业。遴选不少于30家能力强、生态优的数字化服务商。打造“小快轻准”的产品及解决方案不少于150个。探索形成具有芜湖特色的典型做法及模式，助推中小企业高质量发展、推动制造业转型升级。</w:t>
      </w:r>
    </w:p>
    <w:p w14:paraId="7840E7F8">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三、重点任务</w:t>
      </w:r>
    </w:p>
    <w:p w14:paraId="75DA9C48">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（一）夯实工作基础。</w:t>
      </w:r>
    </w:p>
    <w:p w14:paraId="223EBEBB">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1．遴选试点企业。</w:t>
      </w:r>
      <w:r>
        <w:rPr>
          <w:rFonts w:hint="default" w:ascii="Times New Roman" w:hAnsi="Times New Roman" w:eastAsia="方正仿宋_GBK" w:cs="Times New Roman"/>
          <w:sz w:val="32"/>
          <w:szCs w:val="32"/>
        </w:rPr>
        <w:t>围绕试点细分行业分批次遴选不少于500户试点企业实施数字化改造，带动试点行业规上企业“应改尽改”、规下企业“愿改尽改”。</w:t>
      </w:r>
    </w:p>
    <w:p w14:paraId="12A67BA7">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2．遴选优质数字化服务商。</w:t>
      </w:r>
      <w:r>
        <w:rPr>
          <w:rFonts w:hint="default" w:ascii="Times New Roman" w:hAnsi="Times New Roman" w:eastAsia="方正仿宋_GBK" w:cs="Times New Roman"/>
          <w:sz w:val="32"/>
          <w:szCs w:val="32"/>
        </w:rPr>
        <w:t>针对细分行业数字化转型实际需要，以公开遴选方式分批次面向全国广泛征集主承包和专业数字化服务商，打造芜湖市中小企业数字化转型服务商资源池，提升芜湖数字化转型服务供给水平。每个细分行业原则上遴选主承包服务商1家，专业服务商若干家。主承包服务商总体负责推进该行业企业的数字化转型，按试点工作任务要求签订承包任务书，并以优化组合方式组织入选的数字化服务商自主开展企业数字化转型诊断、数字化转型实施等工作。对服务商资源池实行动态管理及退出机制，根据企业服务成效、项目实施成效动态调整。</w:t>
      </w:r>
    </w:p>
    <w:p w14:paraId="44355D70">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3．遴选高水平第三方支撑单位。</w:t>
      </w:r>
      <w:r>
        <w:rPr>
          <w:rFonts w:hint="default" w:ascii="Times New Roman" w:hAnsi="Times New Roman" w:eastAsia="方正仿宋_GBK" w:cs="Times New Roman"/>
          <w:sz w:val="32"/>
          <w:szCs w:val="32"/>
        </w:rPr>
        <w:t>采用公开招投标方式，遴选高水平第三方支撑机构，提供专业一体化全过程咨询，围绕芜湖市中小企业数字化转型试点城市建设工作目标、实施内容、资金分配和使用、绩效管理等相关要求，全面策划、统筹、管理中小企业数字化转型试点城市工作，组织开展数字化转型培训、数字化水平评价、数字化产业活动、数字化转型试点支撑等服务，提供满足试点工作需要的数字化管理服务平台，保障芜湖市中小企业数字化转型试点城市高质量完成。</w:t>
      </w:r>
    </w:p>
    <w:p w14:paraId="3719294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（二）推动试点企业改造</w:t>
      </w:r>
      <w:r>
        <w:rPr>
          <w:rFonts w:hint="default" w:ascii="Times New Roman" w:hAnsi="Times New Roman" w:eastAsia="方正仿宋_GBK" w:cs="Times New Roman"/>
          <w:sz w:val="32"/>
          <w:szCs w:val="32"/>
        </w:rPr>
        <w:t>。</w:t>
      </w:r>
    </w:p>
    <w:p w14:paraId="12044DE2">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4．打造企业数字化转型创新中心。</w:t>
      </w:r>
      <w:r>
        <w:rPr>
          <w:rFonts w:hint="default" w:ascii="Times New Roman" w:hAnsi="Times New Roman" w:eastAsia="方正仿宋_GBK" w:cs="Times New Roman"/>
          <w:sz w:val="32"/>
          <w:szCs w:val="32"/>
        </w:rPr>
        <w:t>建设芜湖市企业数字化转型创新中心，围绕企业数字化转型全生命周期，为企业提供咨询诊断、路径规划、落地实施、培训赋能等数字化转型服务，赋能中小企业数字化转型，打造一批数字化转型标杆示范，引导中小企业“看样学样”。</w:t>
      </w:r>
    </w:p>
    <w:p w14:paraId="590EEB44">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5．实施企业数字化改造。</w:t>
      </w:r>
      <w:r>
        <w:rPr>
          <w:rFonts w:hint="default" w:ascii="Times New Roman" w:hAnsi="Times New Roman" w:eastAsia="方正仿宋_GBK" w:cs="Times New Roman"/>
          <w:sz w:val="32"/>
          <w:szCs w:val="32"/>
        </w:rPr>
        <w:t>各试点行业主承包服务商牵头，联合专业服务商进行企业需求调研分析，提供“小快轻准”数字化解决方案，开展数字化改造供需匹配。主承包服务商按照咨询诊断报告，组织数字化服务商与试点企业逐一制定数字化转型方案，按程序申报确定后，由主管部门、数字化服务商、试点企业签订项目任务书并预拨相应资金，支持企业实施数字化转型提升。各县市区、开发区要主动上门服务，全力动员辖区内企业开展数字化转型。</w:t>
      </w:r>
    </w:p>
    <w:p w14:paraId="38BD855C">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6．加强数字化改造全过程监管。</w:t>
      </w:r>
      <w:r>
        <w:rPr>
          <w:rFonts w:hint="default" w:ascii="Times New Roman" w:hAnsi="Times New Roman" w:eastAsia="方正仿宋_GBK" w:cs="Times New Roman"/>
          <w:sz w:val="32"/>
          <w:szCs w:val="32"/>
        </w:rPr>
        <w:t>各县市区、开发区加强与服务商沟通协调，动态跟踪试点企业改造进度，跟进试点企业改造情况，市工业和信息化局持续跟踪监督。</w:t>
      </w:r>
    </w:p>
    <w:p w14:paraId="3DEDC23B">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7．组织数字化改造评估验收。</w:t>
      </w:r>
      <w:r>
        <w:rPr>
          <w:rFonts w:hint="default" w:ascii="Times New Roman" w:hAnsi="Times New Roman" w:eastAsia="方正仿宋_GBK" w:cs="Times New Roman"/>
          <w:sz w:val="32"/>
          <w:szCs w:val="32"/>
        </w:rPr>
        <w:t>根据工业和信息化部发布的《中小企业数字化水平评测指标》，开展试点企业中小企业数字化水平评测及改造工作验收。验收结果将作为试点企业奖补资金兑现、数字化服务商绩效评价的重要依据。</w:t>
      </w:r>
    </w:p>
    <w:p w14:paraId="3C23E5A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（三）加快复制推广。</w:t>
      </w:r>
    </w:p>
    <w:p w14:paraId="10AAF844">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8．总结优秀数字化转型模式。</w:t>
      </w:r>
      <w:r>
        <w:rPr>
          <w:rFonts w:hint="default" w:ascii="Times New Roman" w:hAnsi="Times New Roman" w:eastAsia="方正仿宋_GBK" w:cs="Times New Roman"/>
          <w:sz w:val="32"/>
          <w:szCs w:val="32"/>
        </w:rPr>
        <w:t>聚焦试点行业，引导龙头、“链主”企业开放技术、资金、人才、服务等资源，推动大中小企业在生产经营等环节实现协同。遴选一批中小企业“链式”协同数字化转型、园区/集群抱团数字化转型典型案例，促进中小企业“卡位入链”，实现大中小企业融通发展。</w:t>
      </w:r>
    </w:p>
    <w:p w14:paraId="2A00F364">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9．加强宣传推广。</w:t>
      </w:r>
      <w:r>
        <w:rPr>
          <w:rFonts w:hint="default" w:ascii="Times New Roman" w:hAnsi="Times New Roman" w:eastAsia="方正仿宋_GBK" w:cs="Times New Roman"/>
          <w:sz w:val="32"/>
          <w:szCs w:val="32"/>
        </w:rPr>
        <w:t>及时总结试点行业典型经验，发挥样板项目引领作用，向重点产业链复制推广，带动高新技术企业、规上工业企业、专精特新企业加“数”前行。加强与全国其他试点城市中小企业数字化转型试点工作的联动、交流，实现“信息互通、经验互用、资源共享、生态共建”，共同营造中小企业数字化转型的浓厚氛围。</w:t>
      </w:r>
    </w:p>
    <w:p w14:paraId="2685DBEE">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（四）加大政策支持。</w:t>
      </w:r>
    </w:p>
    <w:p w14:paraId="456C3128">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10．支持企业数字化改造。</w:t>
      </w:r>
      <w:r>
        <w:rPr>
          <w:rFonts w:hint="default" w:ascii="Times New Roman" w:hAnsi="Times New Roman" w:eastAsia="方正仿宋_GBK" w:cs="Times New Roman"/>
          <w:sz w:val="32"/>
          <w:szCs w:val="32"/>
        </w:rPr>
        <w:t>根据企业评测等级情况，对试点企业在试点期间符合要求的数字化改造项目资金投入给予一定比例的补贴。其中，中小企业数字化水平等级达到二级水平的企业，按照用于与数字化改造相关的软件、云服务支出，网关、路由等必要的数据采集传输设备支出的50%予以补助，每家最高补助15万元；达到三级及以上水平的企业，按照改造投入50%补助，每家最高补助25万元。以上奖补资金由中央奖补试点改造企业资金予以支持。针对中小企业数字化转型标杆示范企业，由中央奖补试点改造企业资金与市级配套资金共同予以支持。</w:t>
      </w:r>
    </w:p>
    <w:p w14:paraId="59B172BE">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11．提升服务商能力。</w:t>
      </w:r>
      <w:r>
        <w:rPr>
          <w:rFonts w:hint="default" w:ascii="Times New Roman" w:hAnsi="Times New Roman" w:eastAsia="方正仿宋_GBK" w:cs="Times New Roman"/>
          <w:sz w:val="32"/>
          <w:szCs w:val="32"/>
        </w:rPr>
        <w:t>围绕“高端化”“智能化”“绿色化”的平台能力提升、制造业数字供应链能力提升、国家/省级平台培育培优等工作，培育具备较强的行业设备管理能力、工业知识沉淀能力以及良好用户基础的行业工业互联网平台。遴选不超过4个专业特色型平台，给予每个平台最高100万元奖补。择优遴选6个优秀服务商，按照服务绩效和实际业务量，给予单个服务商不超过20万元资金奖励。择优遴选8个典型高效“链式”中小企业数字化转型优秀方案，按照促进大中小企业融通发展和产业链上下游协同情况、带动上下游企业的数量、产生的效益情况，单个“链式”方案给予不超过10万元资金奖励。遴选优秀“小快轻准”解决方案和服务产品20个，单个服务或产品择优给予不超过5万元资金奖励。</w:t>
      </w:r>
    </w:p>
    <w:p w14:paraId="369129A6">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四、推进计划</w:t>
      </w:r>
    </w:p>
    <w:p w14:paraId="3B9BABAF">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（一）准备阶段（2024年11月—2025年4月）</w:t>
      </w:r>
      <w:r>
        <w:rPr>
          <w:rFonts w:hint="default" w:ascii="Times New Roman" w:hAnsi="Times New Roman" w:eastAsia="方正仿宋_GBK" w:cs="Times New Roman"/>
          <w:sz w:val="32"/>
          <w:szCs w:val="32"/>
        </w:rPr>
        <w:t>。</w:t>
      </w:r>
    </w:p>
    <w:p w14:paraId="7B6A942F">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编制试点城市建设实施方案，明确整体工作目标及工作路径。构建数字化转型服务资源池。加强试点城市建设宣传，组织开展各类宣贯动员活动。</w:t>
      </w:r>
    </w:p>
    <w:p w14:paraId="4F8B39EF">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（二）实施阶段（2025年4月—2026年9月）。</w:t>
      </w:r>
    </w:p>
    <w:p w14:paraId="7D21D00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推进试点企业实施诊断、数字化改造；开展数字化人才培训、供需对接等系列活动。完成不少于500家试点企业数字化改造工作。改造完成后，委托第三方机构开展验收评估。开展“小快轻准”示范产品等遴选、宣传工作，总结推广试点企业转型经验。遴选优秀服务商、典型“链式”中小企业数字化转型案例、优秀“小快轻准”产品。</w:t>
      </w:r>
    </w:p>
    <w:p w14:paraId="766CE63C">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（三）总结验收阶段（2026年9月—2026年10月）。</w:t>
      </w:r>
    </w:p>
    <w:p w14:paraId="25C5AEF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完成中小企业数字化转型试点城市工作绩效评价，提炼总结中小企业数字化转型“芜湖模式”。做好财政部、工业和信息化部终期绩效评价工作。</w:t>
      </w:r>
    </w:p>
    <w:p w14:paraId="1929E27F">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五、保障措施</w:t>
      </w:r>
    </w:p>
    <w:p w14:paraId="0D34D842">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1．加强跟踪监测。</w:t>
      </w:r>
      <w:r>
        <w:rPr>
          <w:rFonts w:hint="default" w:ascii="Times New Roman" w:hAnsi="Times New Roman" w:eastAsia="方正仿宋_GBK" w:cs="Times New Roman"/>
          <w:sz w:val="32"/>
          <w:szCs w:val="32"/>
        </w:rPr>
        <w:t>建立试点城市建设工作协调机制，按照“市级统筹协调，县区具体落实”的原则，建立监测机制，定期对数字化改造整体进度和目标任务完成情况进行监测，加强奖补资金统筹，对于数字</w:t>
      </w:r>
      <w:bookmarkStart w:id="0" w:name="_GoBack"/>
      <w:bookmarkEnd w:id="0"/>
      <w:r>
        <w:rPr>
          <w:rFonts w:hint="default" w:ascii="Times New Roman" w:hAnsi="Times New Roman" w:eastAsia="方正仿宋_GBK" w:cs="Times New Roman"/>
          <w:sz w:val="32"/>
          <w:szCs w:val="32"/>
        </w:rPr>
        <w:t>化改造进度缓慢的县区，适时予以资金调整，督促各地按期、按质完成国家试点工作。</w:t>
      </w:r>
    </w:p>
    <w:p w14:paraId="129A921D">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2．加大资金保障。</w:t>
      </w:r>
      <w:r>
        <w:rPr>
          <w:rFonts w:hint="default" w:ascii="Times New Roman" w:hAnsi="Times New Roman" w:eastAsia="方正仿宋_GBK" w:cs="Times New Roman"/>
          <w:sz w:val="32"/>
          <w:szCs w:val="32"/>
        </w:rPr>
        <w:t>充分发挥中央、地方财政资金的引导带动作用，带动社会资本支持芜湖市中小企业数字化转型试点工作，拓宽中小企业数字化转型融资渠道。鼓励试点服务商“带资”参加试点改造工作，缓解中小企业数字化转型资金不足问题。鼓励金融机构创新信用评估体系和风险控制机制，优化金融资源配置，引导全市金融机构围绕中小企业数字化转型提供特色金融产品和服务，助力芜湖市中小企业数字化转型发展。鼓励各县市区人民政府、开发区管委会配套政策资金，支持辖区中小企业数字化转型。</w:t>
      </w:r>
    </w:p>
    <w:p w14:paraId="535A72EC">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3．强化人才培养。</w:t>
      </w:r>
      <w:r>
        <w:rPr>
          <w:rFonts w:hint="default" w:ascii="Times New Roman" w:hAnsi="Times New Roman" w:eastAsia="方正仿宋_GBK" w:cs="Times New Roman"/>
          <w:sz w:val="32"/>
          <w:szCs w:val="32"/>
        </w:rPr>
        <w:t>依托“紫云英人才计划”等活动，招引一批数字化转型方面高层次人才。加大对企业高层管理人员的数字化培训，强化数字化改造“一把手”工程意识。面向试点行业举办能力提升培训、专精特新发展专题培训、研修对接、座谈交流等活动，为试点企业培养数字化转型相关技术技能人才。</w:t>
      </w:r>
    </w:p>
    <w:p w14:paraId="2627E908">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4．强化安全保障。</w:t>
      </w:r>
      <w:r>
        <w:rPr>
          <w:rFonts w:hint="default" w:ascii="Times New Roman" w:hAnsi="Times New Roman" w:eastAsia="方正仿宋_GBK" w:cs="Times New Roman"/>
          <w:sz w:val="32"/>
          <w:szCs w:val="32"/>
        </w:rPr>
        <w:t>落实有关法律法规和政策标准等要求，引导试点服务商建立安全防护机制，从云、网、端、数据等维度加强安全保障体系设计，明确数据安全主体责任与边界，探索数据所有权、使用权、运营权分置并行的创新服务模式，切实保障中小企业数据安全和权益。</w:t>
      </w:r>
    </w:p>
    <w:p w14:paraId="6D09A2F5">
      <w:pPr>
        <w:keepNext w:val="0"/>
        <w:keepLines w:val="0"/>
        <w:pageBreakBefore w:val="0"/>
        <w:widowControl w:val="0"/>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5．营造良好氛围。</w:t>
      </w:r>
      <w:r>
        <w:rPr>
          <w:rFonts w:hint="default" w:ascii="Times New Roman" w:hAnsi="Times New Roman" w:eastAsia="方正仿宋_GBK" w:cs="Times New Roman"/>
          <w:sz w:val="32"/>
          <w:szCs w:val="32"/>
        </w:rPr>
        <w:t>广泛开展各类宣传活动，总结典型案例和改造经验，加大对企业数字化改造的宣传推广，并通过电视、网站、报刊、新媒体宣传中小企业数字化转型工作进展及标杆案例，营造良好的数字化转型舆论生态环境。</w:t>
      </w:r>
    </w:p>
    <w:sectPr>
      <w:headerReference r:id="rId3" w:type="default"/>
      <w:footerReference r:id="rId4" w:type="default"/>
      <w:pgSz w:w="11906" w:h="16838"/>
      <w:pgMar w:top="1962" w:right="1474" w:bottom="1848" w:left="1984"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5F525">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68AE6D">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3768AE6D">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96916A1">
    <w:pPr>
      <w:pStyle w:val="5"/>
      <w:wordWrap w:val="0"/>
      <w:ind w:left="4788" w:leftChars="2280" w:firstLine="6400" w:firstLineChars="2000"/>
      <w:jc w:val="right"/>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374640" cy="1905"/>
              <wp:effectExtent l="0" t="10795" r="16510" b="15875"/>
              <wp:wrapNone/>
              <wp:docPr id="12" name="直接连接符 12"/>
              <wp:cNvGraphicFramePr/>
              <a:graphic xmlns:a="http://schemas.openxmlformats.org/drawingml/2006/main">
                <a:graphicData uri="http://schemas.microsoft.com/office/word/2010/wordprocessingShape">
                  <wps:wsp>
                    <wps:cNvCnPr/>
                    <wps:spPr>
                      <a:xfrm>
                        <a:off x="0" y="0"/>
                        <a:ext cx="5374640"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23.2pt;z-index:251660288;mso-width-relative:page;mso-height-relative:page;" filled="f" stroked="t" coordsize="21600,21600" o:gfxdata="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vh8EXT&#10;AAAABgEAAA8AAAAAAAAAAQAgAAAAIgAAAGRycy9kb3ducmV2LnhtbFBLAQIUABQAAAAIAIdO4kBQ&#10;ws6W7AEAALcDAAAOAAAAAAAAAAEAIAAAACIBAABkcnMvZTJvRG9jLnhtbFBLBQYAAAAABgAGAFkB&#10;AACABQ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p>
  <w:p w14:paraId="61B8D467">
    <w:pPr>
      <w:pStyle w:val="5"/>
      <w:wordWrap w:val="0"/>
      <w:jc w:val="right"/>
      <w:rPr>
        <w:rFonts w:ascii="宋体" w:hAnsi="宋体" w:eastAsia="宋体" w:cs="宋体"/>
        <w:b/>
        <w:bCs/>
        <w:color w:val="005192"/>
        <w:sz w:val="28"/>
        <w:szCs w:val="44"/>
      </w:rPr>
    </w:pPr>
    <w:r>
      <w:rPr>
        <w:rFonts w:hint="eastAsia" w:ascii="宋体" w:hAnsi="宋体" w:eastAsia="宋体" w:cs="宋体"/>
        <w:b/>
        <w:bCs/>
        <w:color w:val="005192"/>
        <w:sz w:val="28"/>
        <w:szCs w:val="44"/>
      </w:rPr>
      <w:t>芜湖市人民政府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rPr>
      <w:t>发布</w:t>
    </w:r>
  </w:p>
  <w:p w14:paraId="60C5581A">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035A4">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686435</wp:posOffset>
              </wp:positionV>
              <wp:extent cx="5375275" cy="3810"/>
              <wp:effectExtent l="0" t="10795" r="15875" b="13970"/>
              <wp:wrapNone/>
              <wp:docPr id="9" name="直接连接符 9"/>
              <wp:cNvGraphicFramePr/>
              <a:graphic xmlns:a="http://schemas.openxmlformats.org/drawingml/2006/main">
                <a:graphicData uri="http://schemas.microsoft.com/office/word/2010/wordprocessingShape">
                  <wps:wsp>
                    <wps:cNvCnPr/>
                    <wps:spPr>
                      <a:xfrm flipV="1">
                        <a:off x="4133850" y="864870"/>
                        <a:ext cx="5375275" cy="38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3pt;margin-top:54.05pt;height:0.3pt;width:423.25pt;z-index:251659264;mso-width-relative:page;mso-height-relative:page;" filled="f" stroked="t" coordsize="21600,21600" o:gfxdata="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Eb0T2QAAAAkBAAAPAAAAAAAAAAEAIAAAACIAAABkcnMvZG93&#10;bnJldi54bWxQSwECFAAUAAAACACHTuJA/ronq/8BAADKAwAADgAAAAAAAAABACAAAAAoAQAAZHJz&#10;L2Uyb0RvYy54bWxQSwUGAAAAAAYABgBZAQAAmQUAAAAA&#10;">
              <v:fill on="f" focussize="0,0"/>
              <v:stroke weight="1.75pt" color="#005192 [3204]" miterlimit="8" joinstyle="miter"/>
              <v:imagedata o:title=""/>
              <o:lock v:ext="edit" aspectratio="f"/>
            </v:line>
          </w:pict>
        </mc:Fallback>
      </mc:AlternateContent>
    </w:r>
  </w:p>
  <w:p w14:paraId="7349F22C">
    <w:pPr>
      <w:pStyle w:val="5"/>
      <w:textAlignment w:val="center"/>
      <w:rPr>
        <w:rFonts w:hint="default"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0" name="图片 10"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芜湖市人民</w:t>
    </w:r>
    <w:r>
      <w:rPr>
        <w:rFonts w:hint="eastAsia" w:ascii="宋体" w:hAnsi="宋体" w:eastAsia="宋体" w:cs="宋体"/>
        <w:b/>
        <w:bCs/>
        <w:color w:val="005192"/>
        <w:sz w:val="32"/>
        <w:szCs w:val="32"/>
        <w:lang w:val="en-US" w:eastAsia="zh-CN"/>
      </w:rPr>
      <w:t>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VlZGVhYjA3MTJiMGVjNTMxZWJhZjEwMzFmYmZlZTUifQ=="/>
  </w:docVars>
  <w:rsids>
    <w:rsidRoot w:val="00172A27"/>
    <w:rsid w:val="000B75E5"/>
    <w:rsid w:val="00103799"/>
    <w:rsid w:val="00172A27"/>
    <w:rsid w:val="00197EF1"/>
    <w:rsid w:val="001D5673"/>
    <w:rsid w:val="00370D60"/>
    <w:rsid w:val="003B0BE9"/>
    <w:rsid w:val="003C2C10"/>
    <w:rsid w:val="00496D91"/>
    <w:rsid w:val="00507124"/>
    <w:rsid w:val="00545D8F"/>
    <w:rsid w:val="005D49CE"/>
    <w:rsid w:val="00650E3A"/>
    <w:rsid w:val="00701CB2"/>
    <w:rsid w:val="007740FE"/>
    <w:rsid w:val="007E5B7F"/>
    <w:rsid w:val="00855681"/>
    <w:rsid w:val="00866D1D"/>
    <w:rsid w:val="00886771"/>
    <w:rsid w:val="008A1132"/>
    <w:rsid w:val="00900219"/>
    <w:rsid w:val="00940255"/>
    <w:rsid w:val="009418D6"/>
    <w:rsid w:val="00AD7101"/>
    <w:rsid w:val="00B305BB"/>
    <w:rsid w:val="00B8333C"/>
    <w:rsid w:val="00BE1AF4"/>
    <w:rsid w:val="00C2647D"/>
    <w:rsid w:val="00DA2E23"/>
    <w:rsid w:val="00ED39D9"/>
    <w:rsid w:val="00F1597D"/>
    <w:rsid w:val="00F17DC1"/>
    <w:rsid w:val="01941E2F"/>
    <w:rsid w:val="019E71BD"/>
    <w:rsid w:val="032B6C3A"/>
    <w:rsid w:val="033E332C"/>
    <w:rsid w:val="04B679C3"/>
    <w:rsid w:val="052B2C5E"/>
    <w:rsid w:val="05900B27"/>
    <w:rsid w:val="07D34838"/>
    <w:rsid w:val="080F63D8"/>
    <w:rsid w:val="083A425F"/>
    <w:rsid w:val="087A5962"/>
    <w:rsid w:val="09003477"/>
    <w:rsid w:val="09341458"/>
    <w:rsid w:val="0B0912D7"/>
    <w:rsid w:val="0EE3051E"/>
    <w:rsid w:val="104A7615"/>
    <w:rsid w:val="1277193D"/>
    <w:rsid w:val="152D2DCA"/>
    <w:rsid w:val="153913E2"/>
    <w:rsid w:val="179037DC"/>
    <w:rsid w:val="17DB6A12"/>
    <w:rsid w:val="1DD97D69"/>
    <w:rsid w:val="1DEC284C"/>
    <w:rsid w:val="1E6523AC"/>
    <w:rsid w:val="1FFA7124"/>
    <w:rsid w:val="22440422"/>
    <w:rsid w:val="2A5C1C3C"/>
    <w:rsid w:val="2E9C2BDF"/>
    <w:rsid w:val="31A15F24"/>
    <w:rsid w:val="31B72082"/>
    <w:rsid w:val="395347B5"/>
    <w:rsid w:val="398E534A"/>
    <w:rsid w:val="39A232A0"/>
    <w:rsid w:val="39E745AA"/>
    <w:rsid w:val="3B5A6BBB"/>
    <w:rsid w:val="3EDA13A6"/>
    <w:rsid w:val="3FC82FE6"/>
    <w:rsid w:val="3FF21DD0"/>
    <w:rsid w:val="42F058B7"/>
    <w:rsid w:val="436109F6"/>
    <w:rsid w:val="441A38D4"/>
    <w:rsid w:val="447A10D3"/>
    <w:rsid w:val="494553A6"/>
    <w:rsid w:val="4A5162EE"/>
    <w:rsid w:val="4B0A0B56"/>
    <w:rsid w:val="4BC77339"/>
    <w:rsid w:val="4C9236C5"/>
    <w:rsid w:val="505C172E"/>
    <w:rsid w:val="52C74409"/>
    <w:rsid w:val="52F46F0B"/>
    <w:rsid w:val="53D8014D"/>
    <w:rsid w:val="54C2692B"/>
    <w:rsid w:val="5550603F"/>
    <w:rsid w:val="55A56411"/>
    <w:rsid w:val="55E064E0"/>
    <w:rsid w:val="5660369E"/>
    <w:rsid w:val="572C6D10"/>
    <w:rsid w:val="59C17B23"/>
    <w:rsid w:val="5DC34279"/>
    <w:rsid w:val="608816D1"/>
    <w:rsid w:val="60EF4E7F"/>
    <w:rsid w:val="632B726B"/>
    <w:rsid w:val="643550EE"/>
    <w:rsid w:val="665233C1"/>
    <w:rsid w:val="67750F81"/>
    <w:rsid w:val="6AD45862"/>
    <w:rsid w:val="6AD9688B"/>
    <w:rsid w:val="6AEE1AB5"/>
    <w:rsid w:val="6C681542"/>
    <w:rsid w:val="6D0E3F22"/>
    <w:rsid w:val="6F2B6B62"/>
    <w:rsid w:val="6FBC5506"/>
    <w:rsid w:val="737C3597"/>
    <w:rsid w:val="73826795"/>
    <w:rsid w:val="74F1485B"/>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link w:val="11"/>
    <w:qFormat/>
    <w:uiPriority w:val="0"/>
    <w:rPr>
      <w:rFonts w:ascii="宋体" w:hAnsi="Courier New" w:eastAsia="仿宋_GB2312"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2"/>
    <w:basedOn w:val="1"/>
    <w:unhideWhenUsed/>
    <w:qFormat/>
    <w:uiPriority w:val="99"/>
    <w:pPr>
      <w:spacing w:after="120" w:line="480" w:lineRule="auto"/>
    </w:pPr>
    <w:rPr>
      <w:rFonts w:ascii="Calibri" w:hAnsi="Calibri" w:eastAsia="宋体" w:cs="Times New Roman"/>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10">
    <w:name w:val="annotation reference"/>
    <w:basedOn w:val="9"/>
    <w:qFormat/>
    <w:uiPriority w:val="0"/>
    <w:rPr>
      <w:sz w:val="21"/>
      <w:szCs w:val="21"/>
    </w:rPr>
  </w:style>
  <w:style w:type="character" w:customStyle="1" w:styleId="11">
    <w:name w:val="纯文本 字符"/>
    <w:basedOn w:val="9"/>
    <w:link w:val="3"/>
    <w:qFormat/>
    <w:uiPriority w:val="0"/>
    <w:rPr>
      <w:rFonts w:ascii="宋体" w:hAnsi="Courier New" w:eastAsia="仿宋_GB2312" w:cs="Courier New"/>
      <w:kern w:val="2"/>
      <w:sz w:val="32"/>
      <w:szCs w:val="21"/>
    </w:rPr>
  </w:style>
  <w:style w:type="paragraph" w:customStyle="1" w:styleId="12">
    <w:name w:val="_Style 9"/>
    <w:basedOn w:val="1"/>
    <w:next w:val="13"/>
    <w:qFormat/>
    <w:uiPriority w:val="99"/>
    <w:pPr>
      <w:ind w:firstLine="420" w:firstLineChars="200"/>
    </w:pPr>
    <w:rPr>
      <w:rFonts w:ascii="Times New Roman" w:hAnsi="Times New Roman" w:eastAsia="宋体" w:cs="Times New Roman"/>
      <w:szCs w:val="21"/>
    </w:rPr>
  </w:style>
  <w:style w:type="paragraph" w:styleId="13">
    <w:name w:val="List Paragraph"/>
    <w:basedOn w:val="1"/>
    <w:qFormat/>
    <w:uiPriority w:val="99"/>
    <w:pPr>
      <w:ind w:firstLine="420" w:firstLineChars="200"/>
    </w:pPr>
  </w:style>
  <w:style w:type="paragraph" w:customStyle="1" w:styleId="14">
    <w:name w:val="表单名称"/>
    <w:basedOn w:val="1"/>
    <w:qFormat/>
    <w:uiPriority w:val="0"/>
    <w:pPr>
      <w:widowControl/>
      <w:spacing w:line="460" w:lineRule="exact"/>
      <w:jc w:val="left"/>
    </w:pPr>
    <w:rPr>
      <w:rFonts w:ascii="Times New Roman" w:hAnsi="Times New Roman" w:eastAsia="黑体"/>
      <w:bCs/>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3625</Words>
  <Characters>3689</Characters>
  <Lines>30</Lines>
  <Paragraphs>8</Paragraphs>
  <TotalTime>7</TotalTime>
  <ScaleCrop>false</ScaleCrop>
  <LinksUpToDate>false</LinksUpToDate>
  <CharactersWithSpaces>3690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2021-12-04T07:33:00Z</dcterms:created>
  <dc:creator>t</dc:creator>
  <cp:lastModifiedBy>_夏末、初秋</cp:lastModifiedBy>
  <cp:lastPrinted>2021-10-26T03:30:00Z</cp:lastPrinted>
  <dcterms:modified xsi:type="dcterms:W3CDTF">2025-10-11T07:56:42Z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490C2ABB635C433CBB20168B68D2FCB7</vt:lpwstr>
  </property>
  <property fmtid="{D5CDD505-2E9C-101B-9397-08002B2CF9AE}" pid="4" name="KSOTemplateDocerSaveRecord">
    <vt:lpwstr>eyJoZGlkIjoiY2VlZGVhYjA3MTJiMGVjNTMxZWJhZjEwMzFmYmZlZTUiLCJ1c2VySWQiOiI1Njk0NjM5NTAifQ==</vt:lpwstr>
  </property>
</Properties>
</file>