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6810E0B">
      <w:pPr>
        <w:keepNext w:val="0"/>
        <w:keepLines w:val="0"/>
        <w:pageBreakBefore w:val="0"/>
        <w:widowControl w:val="0"/>
        <w:kinsoku/>
        <w:wordWrap/>
        <w:overflowPunct w:val="0"/>
        <w:topLinePunct w:val="0"/>
        <w:autoSpaceDE/>
        <w:autoSpaceDN/>
        <w:bidi w:val="0"/>
        <w:adjustRightInd/>
        <w:snapToGrid/>
        <w:spacing w:line="590" w:lineRule="exact"/>
        <w:jc w:val="center"/>
        <w:textAlignment w:val="auto"/>
        <w:rPr>
          <w:rFonts w:hint="default" w:ascii="Times New Roman" w:hAnsi="Times New Roman" w:eastAsia="方正仿宋_GBK" w:cs="Times New Roman"/>
          <w:sz w:val="32"/>
          <w:szCs w:val="32"/>
          <w:lang w:val="en-US" w:eastAsia="zh-CN"/>
        </w:rPr>
      </w:pPr>
    </w:p>
    <w:p w14:paraId="5E5735D4">
      <w:pPr>
        <w:keepNext w:val="0"/>
        <w:keepLines w:val="0"/>
        <w:pageBreakBefore w:val="0"/>
        <w:widowControl w:val="0"/>
        <w:kinsoku/>
        <w:wordWrap/>
        <w:overflowPunct w:val="0"/>
        <w:topLinePunct w:val="0"/>
        <w:autoSpaceDE/>
        <w:autoSpaceDN/>
        <w:bidi w:val="0"/>
        <w:adjustRightInd/>
        <w:snapToGrid/>
        <w:spacing w:line="590" w:lineRule="exact"/>
        <w:jc w:val="center"/>
        <w:textAlignment w:val="auto"/>
        <w:rPr>
          <w:rFonts w:hint="default" w:ascii="Times New Roman" w:hAnsi="Times New Roman" w:eastAsia="方正仿宋_GBK" w:cs="Times New Roman"/>
          <w:sz w:val="32"/>
          <w:szCs w:val="32"/>
          <w:lang w:val="en-US" w:eastAsia="zh-CN"/>
        </w:rPr>
      </w:pPr>
    </w:p>
    <w:p w14:paraId="727DBE00">
      <w:pPr>
        <w:keepNext w:val="0"/>
        <w:keepLines w:val="0"/>
        <w:pageBreakBefore w:val="0"/>
        <w:widowControl w:val="0"/>
        <w:kinsoku/>
        <w:wordWrap/>
        <w:overflowPunct w:val="0"/>
        <w:topLinePunct w:val="0"/>
        <w:autoSpaceDE/>
        <w:autoSpaceDN/>
        <w:bidi w:val="0"/>
        <w:adjustRightInd/>
        <w:snapToGrid/>
        <w:spacing w:line="590" w:lineRule="exact"/>
        <w:jc w:val="center"/>
        <w:textAlignment w:val="auto"/>
        <w:rPr>
          <w:rFonts w:hint="default" w:ascii="Times New Roman" w:hAnsi="Times New Roman" w:eastAsia="方正小标宋_GBK" w:cs="Times New Roman"/>
          <w:sz w:val="44"/>
          <w:szCs w:val="44"/>
          <w:lang w:val="en-US" w:eastAsia="zh-CN"/>
        </w:rPr>
      </w:pPr>
      <w:bookmarkStart w:id="0" w:name="_GoBack"/>
      <w:r>
        <w:rPr>
          <w:rFonts w:hint="default" w:ascii="Times New Roman" w:hAnsi="Times New Roman" w:eastAsia="方正小标宋_GBK" w:cs="Times New Roman"/>
          <w:sz w:val="44"/>
          <w:szCs w:val="44"/>
          <w:lang w:val="en-US" w:eastAsia="zh-CN"/>
        </w:rPr>
        <w:t>芜湖市人民政府关于印发芜湖市加快推进智造名城建设若干举措的通知</w:t>
      </w:r>
    </w:p>
    <w:bookmarkEnd w:id="0"/>
    <w:p w14:paraId="06CC1F49">
      <w:pPr>
        <w:keepNext w:val="0"/>
        <w:keepLines w:val="0"/>
        <w:pageBreakBefore w:val="0"/>
        <w:widowControl w:val="0"/>
        <w:kinsoku/>
        <w:wordWrap/>
        <w:overflowPunct w:val="0"/>
        <w:topLinePunct w:val="0"/>
        <w:autoSpaceDE/>
        <w:autoSpaceDN/>
        <w:bidi w:val="0"/>
        <w:adjustRightInd/>
        <w:snapToGrid/>
        <w:spacing w:line="590" w:lineRule="exact"/>
        <w:jc w:val="center"/>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芜政〔2025〕29号</w:t>
      </w:r>
    </w:p>
    <w:p w14:paraId="5BD6D1DF">
      <w:pPr>
        <w:keepNext w:val="0"/>
        <w:keepLines w:val="0"/>
        <w:pageBreakBefore w:val="0"/>
        <w:widowControl w:val="0"/>
        <w:kinsoku/>
        <w:wordWrap/>
        <w:overflowPunct w:val="0"/>
        <w:topLinePunct w:val="0"/>
        <w:autoSpaceDE/>
        <w:autoSpaceDN/>
        <w:bidi w:val="0"/>
        <w:adjustRightInd/>
        <w:snapToGrid/>
        <w:spacing w:line="590" w:lineRule="exact"/>
        <w:textAlignment w:val="auto"/>
        <w:rPr>
          <w:rFonts w:hint="default" w:ascii="Times New Roman" w:hAnsi="Times New Roman" w:eastAsia="方正仿宋_GBK" w:cs="Times New Roman"/>
          <w:sz w:val="32"/>
          <w:szCs w:val="32"/>
          <w:lang w:val="en-US" w:eastAsia="zh-CN"/>
        </w:rPr>
      </w:pPr>
    </w:p>
    <w:p w14:paraId="7A12629E">
      <w:pPr>
        <w:keepNext w:val="0"/>
        <w:keepLines w:val="0"/>
        <w:pageBreakBefore w:val="0"/>
        <w:widowControl w:val="0"/>
        <w:kinsoku/>
        <w:wordWrap/>
        <w:overflowPunct w:val="0"/>
        <w:topLinePunct w:val="0"/>
        <w:autoSpaceDE/>
        <w:autoSpaceDN/>
        <w:bidi w:val="0"/>
        <w:adjustRightInd/>
        <w:snapToGrid/>
        <w:spacing w:line="590" w:lineRule="exact"/>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各县市区人民政府，皖江江北新兴产业集中区、经济技术开发区、高新技术产业开发区、三山经济开发区、亳州芜湖现代产业园区管委会，市各有关单位：</w:t>
      </w:r>
    </w:p>
    <w:p w14:paraId="5BCBD436">
      <w:pPr>
        <w:keepNext w:val="0"/>
        <w:keepLines w:val="0"/>
        <w:pageBreakBefore w:val="0"/>
        <w:widowControl w:val="0"/>
        <w:kinsoku/>
        <w:wordWrap/>
        <w:overflowPunct w:val="0"/>
        <w:topLinePunct w:val="0"/>
        <w:autoSpaceDE/>
        <w:autoSpaceDN/>
        <w:bidi w:val="0"/>
        <w:adjustRightInd/>
        <w:snapToGrid/>
        <w:spacing w:line="590" w:lineRule="exact"/>
        <w:ind w:firstLine="640"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现将《芜湖市加快推进智造名城建设若干举措》印发给你们，请认真贯彻执行。</w:t>
      </w:r>
    </w:p>
    <w:p w14:paraId="2159DBF0">
      <w:pPr>
        <w:keepNext w:val="0"/>
        <w:keepLines w:val="0"/>
        <w:pageBreakBefore w:val="0"/>
        <w:widowControl w:val="0"/>
        <w:kinsoku/>
        <w:wordWrap/>
        <w:overflowPunct w:val="0"/>
        <w:topLinePunct w:val="0"/>
        <w:autoSpaceDE/>
        <w:autoSpaceDN/>
        <w:bidi w:val="0"/>
        <w:adjustRightInd/>
        <w:snapToGrid/>
        <w:spacing w:line="590" w:lineRule="exact"/>
        <w:ind w:firstLine="640" w:firstLineChars="200"/>
        <w:textAlignment w:val="auto"/>
        <w:rPr>
          <w:rFonts w:hint="default" w:ascii="Times New Roman" w:hAnsi="Times New Roman" w:eastAsia="方正仿宋_GBK" w:cs="Times New Roman"/>
          <w:sz w:val="32"/>
          <w:szCs w:val="32"/>
          <w:lang w:val="en-US" w:eastAsia="zh-CN"/>
        </w:rPr>
      </w:pPr>
    </w:p>
    <w:p w14:paraId="5FDD0721">
      <w:pPr>
        <w:keepNext w:val="0"/>
        <w:keepLines w:val="0"/>
        <w:pageBreakBefore w:val="0"/>
        <w:widowControl w:val="0"/>
        <w:kinsoku/>
        <w:wordWrap/>
        <w:overflowPunct w:val="0"/>
        <w:topLinePunct w:val="0"/>
        <w:autoSpaceDE/>
        <w:autoSpaceDN/>
        <w:bidi w:val="0"/>
        <w:adjustRightInd/>
        <w:snapToGrid/>
        <w:spacing w:line="590" w:lineRule="exact"/>
        <w:ind w:firstLine="640" w:firstLineChars="200"/>
        <w:textAlignment w:val="auto"/>
        <w:rPr>
          <w:rFonts w:hint="default" w:ascii="Times New Roman" w:hAnsi="Times New Roman" w:eastAsia="方正仿宋_GBK" w:cs="Times New Roman"/>
          <w:sz w:val="32"/>
          <w:szCs w:val="32"/>
          <w:lang w:val="en-US" w:eastAsia="zh-CN"/>
        </w:rPr>
      </w:pPr>
    </w:p>
    <w:p w14:paraId="050994A3">
      <w:pPr>
        <w:keepNext w:val="0"/>
        <w:keepLines w:val="0"/>
        <w:pageBreakBefore w:val="0"/>
        <w:widowControl w:val="0"/>
        <w:kinsoku/>
        <w:wordWrap/>
        <w:overflowPunct w:val="0"/>
        <w:topLinePunct w:val="0"/>
        <w:autoSpaceDE/>
        <w:autoSpaceDN/>
        <w:bidi w:val="0"/>
        <w:adjustRightInd/>
        <w:snapToGrid/>
        <w:spacing w:line="590" w:lineRule="exact"/>
        <w:ind w:right="420" w:rightChars="200"/>
        <w:jc w:val="right"/>
        <w:textAlignment w:val="auto"/>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lang w:eastAsia="zh-CN"/>
        </w:rPr>
        <w:t>芜湖市人民政府</w:t>
      </w:r>
    </w:p>
    <w:p w14:paraId="4EB1D596">
      <w:pPr>
        <w:keepNext w:val="0"/>
        <w:keepLines w:val="0"/>
        <w:pageBreakBefore w:val="0"/>
        <w:widowControl w:val="0"/>
        <w:kinsoku/>
        <w:wordWrap/>
        <w:overflowPunct w:val="0"/>
        <w:topLinePunct w:val="0"/>
        <w:autoSpaceDE/>
        <w:autoSpaceDN/>
        <w:bidi w:val="0"/>
        <w:adjustRightInd/>
        <w:snapToGrid/>
        <w:spacing w:line="590" w:lineRule="exact"/>
        <w:ind w:right="252" w:rightChars="120"/>
        <w:jc w:val="right"/>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2025年3月20日</w:t>
      </w:r>
    </w:p>
    <w:p w14:paraId="127FBAEA">
      <w:pPr>
        <w:keepNext w:val="0"/>
        <w:keepLines w:val="0"/>
        <w:pageBreakBefore w:val="0"/>
        <w:widowControl w:val="0"/>
        <w:kinsoku/>
        <w:wordWrap/>
        <w:overflowPunct w:val="0"/>
        <w:topLinePunct w:val="0"/>
        <w:autoSpaceDE/>
        <w:autoSpaceDN/>
        <w:bidi w:val="0"/>
        <w:adjustRightInd/>
        <w:snapToGrid/>
        <w:spacing w:line="590" w:lineRule="exact"/>
        <w:ind w:firstLine="640"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（此件公开发布）</w:t>
      </w:r>
    </w:p>
    <w:p w14:paraId="458188AA">
      <w:pPr>
        <w:keepNext w:val="0"/>
        <w:keepLines w:val="0"/>
        <w:pageBreakBefore w:val="0"/>
        <w:widowControl w:val="0"/>
        <w:kinsoku/>
        <w:wordWrap/>
        <w:overflowPunct w:val="0"/>
        <w:topLinePunct w:val="0"/>
        <w:autoSpaceDE/>
        <w:autoSpaceDN/>
        <w:bidi w:val="0"/>
        <w:adjustRightInd/>
        <w:snapToGrid/>
        <w:spacing w:line="590" w:lineRule="exact"/>
        <w:ind w:firstLine="640" w:firstLineChars="200"/>
        <w:textAlignment w:val="auto"/>
        <w:rPr>
          <w:rFonts w:hint="default" w:ascii="Times New Roman" w:hAnsi="Times New Roman" w:eastAsia="方正仿宋_GBK" w:cs="Times New Roman"/>
          <w:sz w:val="32"/>
          <w:szCs w:val="32"/>
          <w:lang w:val="en-US" w:eastAsia="zh-CN"/>
        </w:rPr>
      </w:pPr>
    </w:p>
    <w:p w14:paraId="3E738F40">
      <w:pPr>
        <w:keepNext w:val="0"/>
        <w:keepLines w:val="0"/>
        <w:pageBreakBefore w:val="0"/>
        <w:widowControl w:val="0"/>
        <w:kinsoku/>
        <w:wordWrap/>
        <w:overflowPunct w:val="0"/>
        <w:topLinePunct w:val="0"/>
        <w:autoSpaceDE/>
        <w:autoSpaceDN/>
        <w:bidi w:val="0"/>
        <w:adjustRightInd/>
        <w:snapToGrid/>
        <w:spacing w:line="590" w:lineRule="exact"/>
        <w:ind w:firstLine="640" w:firstLineChars="200"/>
        <w:textAlignment w:val="auto"/>
        <w:rPr>
          <w:rFonts w:hint="default" w:ascii="Times New Roman" w:hAnsi="Times New Roman" w:eastAsia="方正仿宋_GBK" w:cs="Times New Roman"/>
          <w:sz w:val="32"/>
          <w:szCs w:val="32"/>
          <w:lang w:val="en-US" w:eastAsia="zh-CN"/>
        </w:rPr>
      </w:pPr>
    </w:p>
    <w:p w14:paraId="7FC6F557">
      <w:pPr>
        <w:keepNext w:val="0"/>
        <w:keepLines w:val="0"/>
        <w:pageBreakBefore w:val="0"/>
        <w:widowControl w:val="0"/>
        <w:kinsoku/>
        <w:wordWrap/>
        <w:overflowPunct w:val="0"/>
        <w:topLinePunct w:val="0"/>
        <w:autoSpaceDE/>
        <w:autoSpaceDN/>
        <w:bidi w:val="0"/>
        <w:adjustRightInd/>
        <w:snapToGrid/>
        <w:spacing w:line="590" w:lineRule="exact"/>
        <w:ind w:firstLine="640" w:firstLineChars="200"/>
        <w:textAlignment w:val="auto"/>
        <w:rPr>
          <w:rFonts w:hint="default" w:ascii="Times New Roman" w:hAnsi="Times New Roman" w:eastAsia="方正仿宋_GBK" w:cs="Times New Roman"/>
          <w:sz w:val="32"/>
          <w:szCs w:val="32"/>
          <w:lang w:val="en-US" w:eastAsia="zh-CN"/>
        </w:rPr>
      </w:pPr>
    </w:p>
    <w:p w14:paraId="0D842F17">
      <w:pPr>
        <w:keepNext w:val="0"/>
        <w:keepLines w:val="0"/>
        <w:pageBreakBefore w:val="0"/>
        <w:widowControl w:val="0"/>
        <w:kinsoku/>
        <w:wordWrap/>
        <w:overflowPunct w:val="0"/>
        <w:topLinePunct w:val="0"/>
        <w:autoSpaceDE/>
        <w:autoSpaceDN/>
        <w:bidi w:val="0"/>
        <w:adjustRightInd/>
        <w:snapToGrid/>
        <w:spacing w:line="590" w:lineRule="exact"/>
        <w:ind w:firstLine="640" w:firstLineChars="200"/>
        <w:textAlignment w:val="auto"/>
        <w:rPr>
          <w:rFonts w:hint="default" w:ascii="Times New Roman" w:hAnsi="Times New Roman" w:eastAsia="方正仿宋_GBK" w:cs="Times New Roman"/>
          <w:sz w:val="32"/>
          <w:szCs w:val="32"/>
          <w:lang w:val="en-US" w:eastAsia="zh-CN"/>
        </w:rPr>
      </w:pPr>
    </w:p>
    <w:p w14:paraId="53D7B051">
      <w:pPr>
        <w:keepNext w:val="0"/>
        <w:keepLines w:val="0"/>
        <w:pageBreakBefore w:val="0"/>
        <w:widowControl w:val="0"/>
        <w:kinsoku/>
        <w:wordWrap/>
        <w:overflowPunct w:val="0"/>
        <w:topLinePunct w:val="0"/>
        <w:autoSpaceDE/>
        <w:autoSpaceDN/>
        <w:bidi w:val="0"/>
        <w:adjustRightInd/>
        <w:snapToGrid/>
        <w:spacing w:line="590" w:lineRule="exact"/>
        <w:textAlignment w:val="auto"/>
        <w:rPr>
          <w:rFonts w:hint="default" w:ascii="Times New Roman" w:hAnsi="Times New Roman" w:eastAsia="方正仿宋_GBK" w:cs="Times New Roman"/>
          <w:sz w:val="32"/>
          <w:szCs w:val="32"/>
          <w:lang w:val="en-US" w:eastAsia="zh-CN"/>
        </w:rPr>
      </w:pPr>
    </w:p>
    <w:p w14:paraId="1EBCB5D1">
      <w:pPr>
        <w:keepNext w:val="0"/>
        <w:keepLines w:val="0"/>
        <w:pageBreakBefore w:val="0"/>
        <w:widowControl w:val="0"/>
        <w:kinsoku/>
        <w:wordWrap/>
        <w:overflowPunct w:val="0"/>
        <w:topLinePunct w:val="0"/>
        <w:autoSpaceDE/>
        <w:autoSpaceDN/>
        <w:bidi w:val="0"/>
        <w:adjustRightInd/>
        <w:snapToGrid/>
        <w:spacing w:line="590" w:lineRule="exact"/>
        <w:jc w:val="center"/>
        <w:textAlignment w:val="auto"/>
        <w:rPr>
          <w:rFonts w:hint="default" w:ascii="Times New Roman" w:hAnsi="Times New Roman" w:eastAsia="方正小标宋_GBK" w:cs="Times New Roman"/>
          <w:sz w:val="44"/>
          <w:szCs w:val="44"/>
          <w:lang w:val="en-US" w:eastAsia="zh-CN"/>
        </w:rPr>
      </w:pPr>
      <w:r>
        <w:rPr>
          <w:rFonts w:hint="default" w:ascii="Times New Roman" w:hAnsi="Times New Roman" w:eastAsia="方正小标宋_GBK" w:cs="Times New Roman"/>
          <w:sz w:val="44"/>
          <w:szCs w:val="44"/>
          <w:lang w:val="en-US" w:eastAsia="zh-CN"/>
        </w:rPr>
        <w:t>芜湖市加快推进智造名城建设若干举措</w:t>
      </w:r>
    </w:p>
    <w:p w14:paraId="67AD9330">
      <w:pPr>
        <w:keepNext w:val="0"/>
        <w:keepLines w:val="0"/>
        <w:pageBreakBefore w:val="0"/>
        <w:widowControl w:val="0"/>
        <w:kinsoku/>
        <w:wordWrap/>
        <w:overflowPunct w:val="0"/>
        <w:topLinePunct w:val="0"/>
        <w:autoSpaceDE/>
        <w:autoSpaceDN/>
        <w:bidi w:val="0"/>
        <w:adjustRightInd/>
        <w:snapToGrid/>
        <w:spacing w:line="590" w:lineRule="exact"/>
        <w:ind w:firstLine="640" w:firstLineChars="200"/>
        <w:textAlignment w:val="auto"/>
        <w:rPr>
          <w:rFonts w:hint="default" w:ascii="Times New Roman" w:hAnsi="Times New Roman" w:eastAsia="方正仿宋_GBK" w:cs="Times New Roman"/>
          <w:sz w:val="32"/>
          <w:szCs w:val="32"/>
          <w:lang w:val="en-US" w:eastAsia="zh-CN"/>
        </w:rPr>
      </w:pPr>
    </w:p>
    <w:p w14:paraId="77409FB0">
      <w:pPr>
        <w:keepNext w:val="0"/>
        <w:keepLines w:val="0"/>
        <w:pageBreakBefore w:val="0"/>
        <w:widowControl w:val="0"/>
        <w:kinsoku/>
        <w:wordWrap/>
        <w:overflowPunct w:val="0"/>
        <w:topLinePunct w:val="0"/>
        <w:autoSpaceDE/>
        <w:autoSpaceDN/>
        <w:bidi w:val="0"/>
        <w:adjustRightInd/>
        <w:snapToGrid/>
        <w:spacing w:line="590" w:lineRule="exact"/>
        <w:ind w:firstLine="640"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为加快推进制造业高质量发展、壮大新质生产力，全力打造全国率先迈向中高端的智造名城，制定如下举措。</w:t>
      </w:r>
    </w:p>
    <w:p w14:paraId="17A76203">
      <w:pPr>
        <w:keepNext w:val="0"/>
        <w:keepLines w:val="0"/>
        <w:pageBreakBefore w:val="0"/>
        <w:widowControl w:val="0"/>
        <w:kinsoku/>
        <w:wordWrap/>
        <w:overflowPunct w:val="0"/>
        <w:topLinePunct w:val="0"/>
        <w:autoSpaceDE/>
        <w:autoSpaceDN/>
        <w:bidi w:val="0"/>
        <w:adjustRightInd/>
        <w:snapToGrid/>
        <w:spacing w:line="590" w:lineRule="exact"/>
        <w:ind w:firstLine="640"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黑体_GBK" w:cs="Times New Roman"/>
          <w:sz w:val="32"/>
          <w:szCs w:val="32"/>
          <w:lang w:val="en-US" w:eastAsia="zh-CN"/>
        </w:rPr>
        <w:t>1．支持企业新型技术改造。</w:t>
      </w:r>
      <w:r>
        <w:rPr>
          <w:rFonts w:hint="default" w:ascii="Times New Roman" w:hAnsi="Times New Roman" w:eastAsia="方正仿宋_GBK" w:cs="Times New Roman"/>
          <w:sz w:val="32"/>
          <w:szCs w:val="32"/>
          <w:lang w:val="en-US" w:eastAsia="zh-CN"/>
        </w:rPr>
        <w:t>对制造业企业当年设备购置额（含生产设备投入及工业软件等软性投入，不含税）1000万（含）-2000万元（不含）、超过2000万元（含）的智能化、数字化、绿色化技术改造项目，对其设备投入分别按照最高不超过3%、4%给予奖补。其中，通过两化融合管理体系、数字化转型成熟度、数据管理能力成熟度或工业互联网平台贯标的企业，对其软性投入按照最高不超过8%比例进行奖补。单个项目最高奖补300万元。鼓励各县市区、开发区出台支持制造业技术改造投资政策，可与市级政策叠加享受。</w:t>
      </w:r>
    </w:p>
    <w:p w14:paraId="201A8478">
      <w:pPr>
        <w:keepNext w:val="0"/>
        <w:keepLines w:val="0"/>
        <w:pageBreakBefore w:val="0"/>
        <w:widowControl w:val="0"/>
        <w:kinsoku/>
        <w:wordWrap/>
        <w:overflowPunct w:val="0"/>
        <w:topLinePunct w:val="0"/>
        <w:autoSpaceDE/>
        <w:autoSpaceDN/>
        <w:bidi w:val="0"/>
        <w:adjustRightInd/>
        <w:snapToGrid/>
        <w:spacing w:line="590" w:lineRule="exact"/>
        <w:ind w:firstLine="640"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黑体_GBK" w:cs="Times New Roman"/>
          <w:sz w:val="32"/>
          <w:szCs w:val="32"/>
          <w:lang w:val="en-US" w:eastAsia="zh-CN"/>
        </w:rPr>
        <w:t>2．支持企业绿色技术改造。</w:t>
      </w:r>
      <w:r>
        <w:rPr>
          <w:rFonts w:hint="default" w:ascii="Times New Roman" w:hAnsi="Times New Roman" w:eastAsia="方正仿宋_GBK" w:cs="Times New Roman"/>
          <w:sz w:val="32"/>
          <w:szCs w:val="32"/>
          <w:lang w:val="en-US" w:eastAsia="zh-CN"/>
        </w:rPr>
        <w:t>对围绕工艺流程改进、能源结构优化、资源综合利用等方面进行绿色技术改造的工业企业，对其节能、节水项目当年非直接生产性设备仪器采购安装、软件开发采购等超过100万元的，按照最高不超过15%给予奖补。单个项目最高奖补100万元。</w:t>
      </w:r>
    </w:p>
    <w:p w14:paraId="4ADB7073">
      <w:pPr>
        <w:keepNext w:val="0"/>
        <w:keepLines w:val="0"/>
        <w:pageBreakBefore w:val="0"/>
        <w:widowControl w:val="0"/>
        <w:kinsoku/>
        <w:wordWrap/>
        <w:overflowPunct w:val="0"/>
        <w:topLinePunct w:val="0"/>
        <w:autoSpaceDE/>
        <w:autoSpaceDN/>
        <w:bidi w:val="0"/>
        <w:adjustRightInd/>
        <w:snapToGrid/>
        <w:spacing w:line="590" w:lineRule="exact"/>
        <w:ind w:firstLine="640"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黑体_GBK" w:cs="Times New Roman"/>
          <w:sz w:val="32"/>
          <w:szCs w:val="32"/>
          <w:lang w:val="en-US" w:eastAsia="zh-CN"/>
        </w:rPr>
        <w:t>3．鼓励技改投资争先进位。</w:t>
      </w:r>
      <w:r>
        <w:rPr>
          <w:rFonts w:hint="default" w:ascii="Times New Roman" w:hAnsi="Times New Roman" w:eastAsia="方正仿宋_GBK" w:cs="Times New Roman"/>
          <w:sz w:val="32"/>
          <w:szCs w:val="32"/>
          <w:lang w:val="en-US" w:eastAsia="zh-CN"/>
        </w:rPr>
        <w:t>对技改投资总量、增速综合排名前五位且当年技改投资增速高于全省平均水平的县市区、开发区分别给予600万元、500万元、400万元、300万元和200万元奖补。</w:t>
      </w:r>
    </w:p>
    <w:p w14:paraId="5EECC024">
      <w:pPr>
        <w:keepNext w:val="0"/>
        <w:keepLines w:val="0"/>
        <w:pageBreakBefore w:val="0"/>
        <w:widowControl w:val="0"/>
        <w:kinsoku/>
        <w:wordWrap/>
        <w:overflowPunct w:val="0"/>
        <w:topLinePunct w:val="0"/>
        <w:autoSpaceDE/>
        <w:autoSpaceDN/>
        <w:bidi w:val="0"/>
        <w:adjustRightInd/>
        <w:snapToGrid/>
        <w:spacing w:line="590" w:lineRule="exact"/>
        <w:ind w:firstLine="640"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黑体_GBK" w:cs="Times New Roman"/>
          <w:sz w:val="32"/>
          <w:szCs w:val="32"/>
          <w:lang w:val="en-US" w:eastAsia="zh-CN"/>
        </w:rPr>
        <w:t>4．支持企业开展数字化诊断。</w:t>
      </w:r>
      <w:r>
        <w:rPr>
          <w:rFonts w:hint="default" w:ascii="Times New Roman" w:hAnsi="Times New Roman" w:eastAsia="方正仿宋_GBK" w:cs="Times New Roman"/>
          <w:sz w:val="32"/>
          <w:szCs w:val="32"/>
          <w:lang w:val="en-US" w:eastAsia="zh-CN"/>
        </w:rPr>
        <w:t>采用公开招标方式，开展制造业企业数字化诊断服务。按照每家企业诊断服务费最高不超过3万元标准，支付服务机构诊断费用。</w:t>
      </w:r>
    </w:p>
    <w:p w14:paraId="38E1033B">
      <w:pPr>
        <w:keepNext w:val="0"/>
        <w:keepLines w:val="0"/>
        <w:pageBreakBefore w:val="0"/>
        <w:widowControl w:val="0"/>
        <w:kinsoku/>
        <w:wordWrap/>
        <w:overflowPunct w:val="0"/>
        <w:topLinePunct w:val="0"/>
        <w:autoSpaceDE/>
        <w:autoSpaceDN/>
        <w:bidi w:val="0"/>
        <w:adjustRightInd/>
        <w:snapToGrid/>
        <w:spacing w:line="590" w:lineRule="exact"/>
        <w:ind w:firstLine="640"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黑体_GBK" w:cs="Times New Roman"/>
          <w:sz w:val="32"/>
          <w:szCs w:val="32"/>
          <w:lang w:val="en-US" w:eastAsia="zh-CN"/>
        </w:rPr>
        <w:t>5．坚持培“大”育“优”。</w:t>
      </w:r>
      <w:r>
        <w:rPr>
          <w:rFonts w:hint="default" w:ascii="Times New Roman" w:hAnsi="Times New Roman" w:eastAsia="方正仿宋_GBK" w:cs="Times New Roman"/>
          <w:sz w:val="32"/>
          <w:szCs w:val="32"/>
          <w:lang w:val="en-US" w:eastAsia="zh-CN"/>
        </w:rPr>
        <w:t>对新增的国家级制造业单项冠军企业、专精特新“小巨人”企业，市级财政在上级奖补基础上再额外给予40万元、20万元一次性奖补；对首次认定的省级专精特新中小企业，市级财政给予5万元一次性奖补。</w:t>
      </w:r>
    </w:p>
    <w:p w14:paraId="3556DC6B">
      <w:pPr>
        <w:keepNext w:val="0"/>
        <w:keepLines w:val="0"/>
        <w:pageBreakBefore w:val="0"/>
        <w:widowControl w:val="0"/>
        <w:kinsoku/>
        <w:wordWrap/>
        <w:overflowPunct w:val="0"/>
        <w:topLinePunct w:val="0"/>
        <w:autoSpaceDE/>
        <w:autoSpaceDN/>
        <w:bidi w:val="0"/>
        <w:adjustRightInd/>
        <w:snapToGrid/>
        <w:spacing w:line="590" w:lineRule="exact"/>
        <w:ind w:firstLine="640"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黑体_GBK" w:cs="Times New Roman"/>
          <w:sz w:val="32"/>
          <w:szCs w:val="32"/>
          <w:lang w:val="en-US" w:eastAsia="zh-CN"/>
        </w:rPr>
        <w:t>6．聚焦育“小”育“早”。</w:t>
      </w:r>
      <w:r>
        <w:rPr>
          <w:rFonts w:hint="default" w:ascii="Times New Roman" w:hAnsi="Times New Roman" w:eastAsia="方正仿宋_GBK" w:cs="Times New Roman"/>
          <w:sz w:val="32"/>
          <w:szCs w:val="32"/>
          <w:lang w:val="en-US" w:eastAsia="zh-CN"/>
        </w:rPr>
        <w:t>对应税销售收入首次达到2000万的工业企业给予企业管理团队10万元一次性奖补，由市与县（含无为市、皖江江北新兴产业集中区、湾沚区、繁昌区）按2:8比例、市与区（含经济技术开发区、三山经济开发区）按4:6比例承担。对“四当年”（当年签约、当年竣工、当年投产、当年应税销售收入达到2000万）的工业企业由市级财政给予企业管理团队10万元一次性奖补。</w:t>
      </w:r>
    </w:p>
    <w:p w14:paraId="5F52CFFA">
      <w:pPr>
        <w:keepNext w:val="0"/>
        <w:keepLines w:val="0"/>
        <w:pageBreakBefore w:val="0"/>
        <w:widowControl w:val="0"/>
        <w:kinsoku/>
        <w:wordWrap/>
        <w:overflowPunct w:val="0"/>
        <w:topLinePunct w:val="0"/>
        <w:autoSpaceDE/>
        <w:autoSpaceDN/>
        <w:bidi w:val="0"/>
        <w:adjustRightInd/>
        <w:snapToGrid/>
        <w:spacing w:line="590" w:lineRule="exact"/>
        <w:ind w:firstLine="640"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黑体_GBK" w:cs="Times New Roman"/>
          <w:sz w:val="32"/>
          <w:szCs w:val="32"/>
          <w:lang w:val="en-US" w:eastAsia="zh-CN"/>
        </w:rPr>
        <w:t>7．加快5G基础设施建设。</w:t>
      </w:r>
      <w:r>
        <w:rPr>
          <w:rFonts w:hint="default" w:ascii="Times New Roman" w:hAnsi="Times New Roman" w:eastAsia="方正仿宋_GBK" w:cs="Times New Roman"/>
          <w:sz w:val="32"/>
          <w:szCs w:val="32"/>
          <w:lang w:val="en-US" w:eastAsia="zh-CN"/>
        </w:rPr>
        <w:t>按照2025年度每建设并开通100个5G基站奖补最高10万元的标准支持基础电信运营商开展5G基站建设，对2025年度累计建设并开通超过500个基站的基础电信运营商额外给予最高30万元的奖补，每家企业奖补总额最多不超过150万元；按照2025年度每建设100个5G基站奖补最高5万元的标准支持通信基础设施服务企业开展5G基站建设，对2025年度建设5G基站超过500个的通信基础设施服务企业额外给予最高25万元的奖补，每家企业奖励总额最多不超过75万元。</w:t>
      </w:r>
    </w:p>
    <w:p w14:paraId="7CE035BE">
      <w:pPr>
        <w:keepNext w:val="0"/>
        <w:keepLines w:val="0"/>
        <w:pageBreakBefore w:val="0"/>
        <w:widowControl w:val="0"/>
        <w:kinsoku/>
        <w:wordWrap/>
        <w:overflowPunct w:val="0"/>
        <w:topLinePunct w:val="0"/>
        <w:autoSpaceDE/>
        <w:autoSpaceDN/>
        <w:bidi w:val="0"/>
        <w:adjustRightInd/>
        <w:snapToGrid/>
        <w:spacing w:line="590" w:lineRule="exact"/>
        <w:ind w:firstLine="640"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以上5G基站奖补资金兑付比例与芜湖市在全省的宽带下载速率排名挂钩：排名处于第1-5位时，申报企业均全额兑现奖补；排名处于第6-10位时，申报企业均按照50%比例兑现奖补；排名处于全省第11位及以后时，申报企业均按照30%比例兑现奖补。</w:t>
      </w:r>
    </w:p>
    <w:p w14:paraId="2C62B9D7">
      <w:pPr>
        <w:keepNext w:val="0"/>
        <w:keepLines w:val="0"/>
        <w:pageBreakBefore w:val="0"/>
        <w:widowControl w:val="0"/>
        <w:kinsoku/>
        <w:wordWrap/>
        <w:overflowPunct w:val="0"/>
        <w:topLinePunct w:val="0"/>
        <w:autoSpaceDE/>
        <w:autoSpaceDN/>
        <w:bidi w:val="0"/>
        <w:adjustRightInd/>
        <w:snapToGrid/>
        <w:spacing w:line="590" w:lineRule="exact"/>
        <w:ind w:firstLine="640"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黑体_GBK" w:cs="Times New Roman"/>
          <w:sz w:val="32"/>
          <w:szCs w:val="32"/>
          <w:lang w:val="en-US" w:eastAsia="zh-CN"/>
        </w:rPr>
        <w:t>8．加速数实融合发展。</w:t>
      </w:r>
      <w:r>
        <w:rPr>
          <w:rFonts w:hint="default" w:ascii="Times New Roman" w:hAnsi="Times New Roman" w:eastAsia="方正仿宋_GBK" w:cs="Times New Roman"/>
          <w:sz w:val="32"/>
          <w:szCs w:val="32"/>
          <w:lang w:val="en-US" w:eastAsia="zh-CN"/>
        </w:rPr>
        <w:t>面向实体经济和数字经济深度融合发展需求，鼓励企业应用新一代信息技术，对入选工信部实体经济与数字经济深度融合案例中数字化转型通用工具产品、工业互联网平台创新领航应用等方向的企业给予最高30万元的奖补，对入选数字领航企业实践、数字化供应链等方向的企业给予最高50万元的奖补。支持企业围绕工厂建设、研发设计、生产作业、生产管理、运营管理等环节，深入开展数字化集成应用创新，以梯度培育为抓手，系统性、大规模推广建设一批智能工厂。对获评卓越级智能工厂的企业给予100万元奖补，对获评领航级智能工厂的企业给予300万元奖补。</w:t>
      </w:r>
    </w:p>
    <w:p w14:paraId="225F22D6">
      <w:pPr>
        <w:keepNext w:val="0"/>
        <w:keepLines w:val="0"/>
        <w:pageBreakBefore w:val="0"/>
        <w:widowControl w:val="0"/>
        <w:kinsoku/>
        <w:wordWrap/>
        <w:overflowPunct w:val="0"/>
        <w:topLinePunct w:val="0"/>
        <w:autoSpaceDE/>
        <w:autoSpaceDN/>
        <w:bidi w:val="0"/>
        <w:adjustRightInd/>
        <w:snapToGrid/>
        <w:spacing w:line="590" w:lineRule="exact"/>
        <w:ind w:firstLine="640"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本通知由市工业和信息化局负责解释。</w:t>
      </w:r>
    </w:p>
    <w:p w14:paraId="575495F1">
      <w:pPr>
        <w:keepNext w:val="0"/>
        <w:keepLines w:val="0"/>
        <w:pageBreakBefore w:val="0"/>
        <w:widowControl w:val="0"/>
        <w:kinsoku/>
        <w:wordWrap/>
        <w:overflowPunct w:val="0"/>
        <w:topLinePunct w:val="0"/>
        <w:autoSpaceDE/>
        <w:autoSpaceDN/>
        <w:bidi w:val="0"/>
        <w:adjustRightInd/>
        <w:snapToGrid/>
        <w:spacing w:line="590" w:lineRule="exact"/>
        <w:ind w:firstLine="640" w:firstLineChars="200"/>
        <w:textAlignment w:val="auto"/>
        <w:rPr>
          <w:rFonts w:hint="default" w:ascii="Times New Roman" w:hAnsi="Times New Roman" w:eastAsia="方正仿宋_GBK" w:cs="Times New Roman"/>
          <w:sz w:val="32"/>
          <w:szCs w:val="32"/>
          <w:lang w:val="en-US" w:eastAsia="zh-CN"/>
        </w:rPr>
      </w:pPr>
    </w:p>
    <w:sectPr>
      <w:headerReference r:id="rId3" w:type="default"/>
      <w:footerReference r:id="rId4" w:type="default"/>
      <w:pgSz w:w="11906" w:h="16838"/>
      <w:pgMar w:top="1962" w:right="1474" w:bottom="1848" w:left="1587" w:header="851" w:footer="992" w:gutter="0"/>
      <w:pgNumType w:fmt="numberInDash"/>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B01B70">
    <w:pPr>
      <w:pStyle w:val="7"/>
      <w:ind w:left="4788" w:leftChars="2280" w:firstLine="6400" w:firstLineChars="2000"/>
      <w:rPr>
        <w:rFonts w:eastAsia="仿宋"/>
        <w:sz w:val="32"/>
        <w:szCs w:val="48"/>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210D9EC">
                          <w:pPr>
                            <w:pStyle w:val="6"/>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LQ8m0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By0PJtKwIAAFUEAAAOAAAAAAAAAAEAIAAAAB8BAABkcnMvZTJvRG9jLnhtbFBLBQYAAAAABgAG&#10;AFkBAAC8BQAAAAA=&#10;">
              <v:fill on="f" focussize="0,0"/>
              <v:stroke on="f" weight="0.5pt"/>
              <v:imagedata o:title=""/>
              <o:lock v:ext="edit" aspectratio="f"/>
              <v:textbox inset="0mm,0mm,0mm,0mm" style="mso-fit-shape-to-text:t;">
                <w:txbxContent>
                  <w:p w14:paraId="1210D9EC">
                    <w:pPr>
                      <w:pStyle w:val="6"/>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rPr>
      <w:t xml:space="preserve">  </w:t>
    </w:r>
  </w:p>
  <w:p w14:paraId="5ACE1813">
    <w:pPr>
      <w:pStyle w:val="7"/>
      <w:wordWrap w:val="0"/>
      <w:ind w:left="4788" w:leftChars="2280" w:firstLine="6400" w:firstLineChars="2000"/>
      <w:jc w:val="right"/>
      <w:rPr>
        <w:rFonts w:ascii="宋体" w:hAnsi="宋体" w:eastAsia="宋体" w:cs="宋体"/>
        <w:b/>
        <w:bCs/>
        <w:color w:val="005192"/>
        <w:sz w:val="28"/>
        <w:szCs w:val="44"/>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Dzp6XR1AAA&#10;AAYBAAAPAAAAAAAAAAEAIAAAACIAAABkcnMvZG93bnJldi54bWxQSwECFAAUAAAACACHTuJA8DYt&#10;KekBAAC1AwAADgAAAAAAAAABACAAAAAjAQAAZHJzL2Uyb0RvYy54bWxQSwUGAAAAAAYABgBZAQAA&#10;fgUAAAAA&#10;">
              <v:fill on="f" focussize="0,0"/>
              <v:stroke weight="1.75pt" color="#005192 [3204]" miterlimit="8" joinstyle="miter"/>
              <v:imagedata o:title=""/>
              <o:lock v:ext="edit" aspectratio="f"/>
            </v:line>
          </w:pict>
        </mc:Fallback>
      </mc:AlternateContent>
    </w:r>
    <w:r>
      <w:rPr>
        <w:rFonts w:hint="eastAsia" w:eastAsia="仿宋"/>
        <w:color w:val="FAFAFA"/>
        <w:sz w:val="32"/>
        <w:szCs w:val="48"/>
      </w:rPr>
      <w:t>X</w:t>
    </w:r>
    <w:r>
      <w:rPr>
        <w:rFonts w:hint="eastAsia" w:ascii="宋体" w:hAnsi="宋体" w:eastAsia="宋体" w:cs="宋体"/>
        <w:b/>
        <w:bCs/>
        <w:color w:val="005192"/>
        <w:sz w:val="28"/>
        <w:szCs w:val="44"/>
      </w:rPr>
      <w:t xml:space="preserve">芜湖市人民政府发布     </w:t>
    </w:r>
  </w:p>
  <w:p w14:paraId="5ADF3C06">
    <w:pPr>
      <w:pStyle w:val="7"/>
      <w:wordWrap w:val="0"/>
      <w:ind w:left="4788" w:leftChars="2280" w:firstLine="5622" w:firstLineChars="2000"/>
      <w:jc w:val="right"/>
      <w:rPr>
        <w:rFonts w:ascii="宋体" w:hAnsi="宋体" w:eastAsia="宋体" w:cs="宋体"/>
        <w:b/>
        <w:bCs/>
        <w:color w:val="005192"/>
        <w:sz w:val="28"/>
        <w:szCs w:val="44"/>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8CC7FCA">
    <w:pPr>
      <w:pStyle w:val="7"/>
      <w:textAlignment w:val="center"/>
      <w:rPr>
        <w:rFonts w:ascii="宋体" w:hAnsi="宋体" w:eastAsia="宋体" w:cs="宋体"/>
        <w:b/>
        <w:bCs/>
        <w:color w:val="005192"/>
        <w:sz w:val="32"/>
      </w:rPr>
    </w:pPr>
    <w:r>
      <w:rPr>
        <w:rFonts w:hint="eastAsia" w:ascii="宋体" w:hAnsi="宋体" w:eastAsia="宋体" w:cs="宋体"/>
        <w:b/>
        <w:bCs/>
        <w:color w:val="005192"/>
        <w:sz w:val="32"/>
      </w:rPr>
      <mc:AlternateContent>
        <mc:Choice Requires="wps">
          <w:drawing>
            <wp:anchor distT="0" distB="0" distL="114300" distR="114300" simplePos="0" relativeHeight="251659264" behindDoc="0" locked="0" layoutInCell="1" allowOverlap="1">
              <wp:simplePos x="0" y="0"/>
              <wp:positionH relativeFrom="column">
                <wp:posOffset>-3810</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3pt;margin-top:54.35pt;height:0pt;width:442.55pt;z-index:251659264;mso-width-relative:page;mso-height-relative:page;" filled="f" stroked="t" coordsize="21600,21600" o:gfxdata="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1EdA1tUAAAAJAQAADwAAAAAAAAABACAAAAAiAAAAZHJzL2Rvd25yZXYueG1sUEsBAhQAFAAA&#10;AAgAh07iQAXuux7yAQAAvQMAAA4AAAAAAAAAAQAgAAAAJAEAAGRycy9lMm9Eb2MueG1sUEsFBgAA&#10;AAAGAAYAWQEAAIgFAAAAAA==&#10;">
              <v:fill on="f" focussize="0,0"/>
              <v:stroke weight="1.75pt" color="#005192 [3204]" miterlimit="8" joinstyle="miter"/>
              <v:imagedata o:title=""/>
              <o:lock v:ext="edit" aspectratio="f"/>
            </v:line>
          </w:pict>
        </mc:Fallback>
      </mc:AlternateContent>
    </w:r>
  </w:p>
  <w:p w14:paraId="5BB91A7C">
    <w:pPr>
      <w:pStyle w:val="7"/>
      <w:textAlignment w:val="center"/>
      <w:rPr>
        <w:rFonts w:hint="default"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szCs w:val="32"/>
      </w:rPr>
      <w:t>芜湖市人民</w:t>
    </w:r>
    <w:r>
      <w:rPr>
        <w:rFonts w:hint="eastAsia" w:ascii="宋体" w:hAnsi="宋体" w:eastAsia="宋体" w:cs="宋体"/>
        <w:b/>
        <w:bCs/>
        <w:color w:val="005192"/>
        <w:sz w:val="32"/>
        <w:szCs w:val="32"/>
        <w:lang w:val="en-US" w:eastAsia="zh-CN"/>
      </w:rPr>
      <w:t>政府行政规范性文件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2VlZGVhYjA3MTJiMGVjNTMxZWJhZjEwMzFmYmZlZTUifQ=="/>
  </w:docVars>
  <w:rsids>
    <w:rsidRoot w:val="00172A27"/>
    <w:rsid w:val="000B75E5"/>
    <w:rsid w:val="00103799"/>
    <w:rsid w:val="00172A27"/>
    <w:rsid w:val="00197EF1"/>
    <w:rsid w:val="001D5673"/>
    <w:rsid w:val="00370D60"/>
    <w:rsid w:val="003B0BE9"/>
    <w:rsid w:val="003C2C10"/>
    <w:rsid w:val="00496D91"/>
    <w:rsid w:val="00507124"/>
    <w:rsid w:val="00545D8F"/>
    <w:rsid w:val="005D49CE"/>
    <w:rsid w:val="00650E3A"/>
    <w:rsid w:val="00701CB2"/>
    <w:rsid w:val="007740FE"/>
    <w:rsid w:val="007E5B7F"/>
    <w:rsid w:val="00855681"/>
    <w:rsid w:val="00866D1D"/>
    <w:rsid w:val="00886771"/>
    <w:rsid w:val="008A1132"/>
    <w:rsid w:val="00900219"/>
    <w:rsid w:val="00940255"/>
    <w:rsid w:val="009418D6"/>
    <w:rsid w:val="00AD7101"/>
    <w:rsid w:val="00B305BB"/>
    <w:rsid w:val="00B8333C"/>
    <w:rsid w:val="00BE1AF4"/>
    <w:rsid w:val="00C2647D"/>
    <w:rsid w:val="00DA2E23"/>
    <w:rsid w:val="00ED39D9"/>
    <w:rsid w:val="00F1597D"/>
    <w:rsid w:val="00F17DC1"/>
    <w:rsid w:val="019E71BD"/>
    <w:rsid w:val="032B6C3A"/>
    <w:rsid w:val="033E332C"/>
    <w:rsid w:val="04B679C3"/>
    <w:rsid w:val="052B2C5E"/>
    <w:rsid w:val="05900B27"/>
    <w:rsid w:val="07D34838"/>
    <w:rsid w:val="080F63D8"/>
    <w:rsid w:val="087A5962"/>
    <w:rsid w:val="09003477"/>
    <w:rsid w:val="09341458"/>
    <w:rsid w:val="0B0912D7"/>
    <w:rsid w:val="0EE3051E"/>
    <w:rsid w:val="104A7615"/>
    <w:rsid w:val="1277193D"/>
    <w:rsid w:val="152D2DCA"/>
    <w:rsid w:val="153913E2"/>
    <w:rsid w:val="17DB6A12"/>
    <w:rsid w:val="1DD97D69"/>
    <w:rsid w:val="1DEC284C"/>
    <w:rsid w:val="1E6523AC"/>
    <w:rsid w:val="1FFA7124"/>
    <w:rsid w:val="22440422"/>
    <w:rsid w:val="2A5C1C3C"/>
    <w:rsid w:val="2E9C2BDF"/>
    <w:rsid w:val="31A15F24"/>
    <w:rsid w:val="31B72082"/>
    <w:rsid w:val="395347B5"/>
    <w:rsid w:val="398E534A"/>
    <w:rsid w:val="39A232A0"/>
    <w:rsid w:val="39E745AA"/>
    <w:rsid w:val="3B5A6BBB"/>
    <w:rsid w:val="3EDA13A6"/>
    <w:rsid w:val="3FC82FE6"/>
    <w:rsid w:val="3FF21DD0"/>
    <w:rsid w:val="422F2BB5"/>
    <w:rsid w:val="42F058B7"/>
    <w:rsid w:val="436109F6"/>
    <w:rsid w:val="441A38D4"/>
    <w:rsid w:val="447A10D3"/>
    <w:rsid w:val="494553A6"/>
    <w:rsid w:val="4A5162EE"/>
    <w:rsid w:val="4B0A0B56"/>
    <w:rsid w:val="4BC77339"/>
    <w:rsid w:val="4C9236C5"/>
    <w:rsid w:val="505C172E"/>
    <w:rsid w:val="52C74409"/>
    <w:rsid w:val="52F46F0B"/>
    <w:rsid w:val="53D8014D"/>
    <w:rsid w:val="5550603F"/>
    <w:rsid w:val="55A56411"/>
    <w:rsid w:val="55E064E0"/>
    <w:rsid w:val="5660369E"/>
    <w:rsid w:val="572C6D10"/>
    <w:rsid w:val="59C17B23"/>
    <w:rsid w:val="5DC34279"/>
    <w:rsid w:val="608816D1"/>
    <w:rsid w:val="60EF4E7F"/>
    <w:rsid w:val="632B726B"/>
    <w:rsid w:val="643550EE"/>
    <w:rsid w:val="665233C1"/>
    <w:rsid w:val="67750F81"/>
    <w:rsid w:val="67D45CF6"/>
    <w:rsid w:val="6AD45862"/>
    <w:rsid w:val="6AD9688B"/>
    <w:rsid w:val="6AEE1AB5"/>
    <w:rsid w:val="6C681542"/>
    <w:rsid w:val="6D0E3F22"/>
    <w:rsid w:val="6F2B6B62"/>
    <w:rsid w:val="6FBC5506"/>
    <w:rsid w:val="737C3597"/>
    <w:rsid w:val="73826795"/>
    <w:rsid w:val="74F1485B"/>
    <w:rsid w:val="7C9011D9"/>
    <w:rsid w:val="7DC651C5"/>
    <w:rsid w:val="7FCC28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qFormat="1" w:uiPriority="99"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11">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2">
    <w:name w:val="Body Text First Indent"/>
    <w:basedOn w:val="3"/>
    <w:qFormat/>
    <w:uiPriority w:val="0"/>
    <w:pPr>
      <w:spacing w:after="0"/>
      <w:ind w:firstLine="420" w:firstLineChars="100"/>
      <w:jc w:val="center"/>
    </w:pPr>
    <w:rPr>
      <w:rFonts w:ascii="Times New Roman" w:hAnsi="Times New Roman" w:eastAsia="黑体" w:cs="Times New Roman"/>
      <w:sz w:val="36"/>
    </w:rPr>
  </w:style>
  <w:style w:type="paragraph" w:styleId="3">
    <w:name w:val="Body Text"/>
    <w:basedOn w:val="1"/>
    <w:qFormat/>
    <w:uiPriority w:val="0"/>
    <w:pPr>
      <w:spacing w:after="140" w:line="276" w:lineRule="auto"/>
    </w:pPr>
  </w:style>
  <w:style w:type="paragraph" w:styleId="4">
    <w:name w:val="annotation text"/>
    <w:basedOn w:val="1"/>
    <w:qFormat/>
    <w:uiPriority w:val="0"/>
    <w:pPr>
      <w:jc w:val="left"/>
    </w:pPr>
  </w:style>
  <w:style w:type="paragraph" w:styleId="5">
    <w:name w:val="Plain Text"/>
    <w:basedOn w:val="1"/>
    <w:link w:val="13"/>
    <w:qFormat/>
    <w:uiPriority w:val="0"/>
    <w:rPr>
      <w:rFonts w:ascii="宋体" w:hAnsi="Courier New" w:eastAsia="仿宋_GB2312" w:cs="Courier New"/>
      <w:sz w:val="32"/>
      <w:szCs w:val="21"/>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8">
    <w:name w:val="Body Text 2"/>
    <w:basedOn w:val="1"/>
    <w:unhideWhenUsed/>
    <w:qFormat/>
    <w:uiPriority w:val="99"/>
    <w:pPr>
      <w:spacing w:after="120" w:line="480" w:lineRule="auto"/>
    </w:pPr>
    <w:rPr>
      <w:rFonts w:ascii="Calibri" w:hAnsi="Calibri" w:eastAsia="宋体" w:cs="Times New Roman"/>
    </w:rPr>
  </w:style>
  <w:style w:type="paragraph" w:styleId="9">
    <w:name w:val="Normal (Web)"/>
    <w:basedOn w:val="1"/>
    <w:qFormat/>
    <w:uiPriority w:val="99"/>
    <w:pPr>
      <w:widowControl/>
      <w:spacing w:before="100" w:beforeAutospacing="1" w:after="100" w:afterAutospacing="1"/>
      <w:jc w:val="left"/>
    </w:pPr>
    <w:rPr>
      <w:rFonts w:ascii="宋体" w:hAnsi="宋体" w:eastAsia="宋体" w:cs="宋体"/>
      <w:kern w:val="0"/>
      <w:sz w:val="24"/>
    </w:rPr>
  </w:style>
  <w:style w:type="character" w:styleId="12">
    <w:name w:val="annotation reference"/>
    <w:basedOn w:val="11"/>
    <w:qFormat/>
    <w:uiPriority w:val="0"/>
    <w:rPr>
      <w:sz w:val="21"/>
      <w:szCs w:val="21"/>
    </w:rPr>
  </w:style>
  <w:style w:type="character" w:customStyle="1" w:styleId="13">
    <w:name w:val="纯文本 字符"/>
    <w:basedOn w:val="11"/>
    <w:link w:val="5"/>
    <w:qFormat/>
    <w:uiPriority w:val="0"/>
    <w:rPr>
      <w:rFonts w:ascii="宋体" w:hAnsi="Courier New" w:eastAsia="仿宋_GB2312" w:cs="Courier New"/>
      <w:kern w:val="2"/>
      <w:sz w:val="32"/>
      <w:szCs w:val="21"/>
    </w:rPr>
  </w:style>
  <w:style w:type="paragraph" w:customStyle="1" w:styleId="14">
    <w:name w:val="_Style 9"/>
    <w:basedOn w:val="1"/>
    <w:next w:val="15"/>
    <w:qFormat/>
    <w:uiPriority w:val="99"/>
    <w:pPr>
      <w:ind w:firstLine="420" w:firstLineChars="200"/>
    </w:pPr>
    <w:rPr>
      <w:rFonts w:ascii="Times New Roman" w:hAnsi="Times New Roman" w:eastAsia="宋体" w:cs="Times New Roman"/>
      <w:szCs w:val="21"/>
    </w:rPr>
  </w:style>
  <w:style w:type="paragraph" w:styleId="15">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Pages>
  <Words>1593</Words>
  <Characters>1695</Characters>
  <Lines>30</Lines>
  <Paragraphs>8</Paragraphs>
  <TotalTime>1</TotalTime>
  <ScaleCrop>false</ScaleCrop>
  <LinksUpToDate>false</LinksUpToDate>
  <CharactersWithSpaces>1695</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2021-12-04T07:33:00Z</dcterms:created>
  <dc:creator>t</dc:creator>
  <cp:lastModifiedBy>_夏末、初秋</cp:lastModifiedBy>
  <cp:lastPrinted>2021-10-26T03:30:00Z</cp:lastPrinted>
  <dcterms:modified xsi:type="dcterms:W3CDTF">2025-03-21T07:19:02Z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97530F90455B47AB813B798AC9020C55_13</vt:lpwstr>
  </property>
  <property fmtid="{D5CDD505-2E9C-101B-9397-08002B2CF9AE}" pid="4" name="KSOTemplateDocerSaveRecord">
    <vt:lpwstr>eyJoZGlkIjoiY2VlZGVhYjA3MTJiMGVjNTMxZWJhZjEwMzFmYmZlZTUiLCJ1c2VySWQiOiI1Njk0NjM5NTAifQ==</vt:lpwstr>
  </property>
</Properties>
</file>